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52" w:rsidRDefault="008F3552" w:rsidP="008F3552">
      <w:pPr>
        <w:ind w:left="284" w:right="566"/>
        <w:rPr>
          <w:rFonts w:ascii="Times New Roman" w:hAnsi="Times New Roman" w:cs="Times New Roman"/>
          <w:b/>
        </w:rPr>
      </w:pPr>
      <w:r>
        <w:rPr>
          <w:rFonts w:ascii="Times New Roman" w:hAnsi="Times New Roman" w:cs="Times New Roman"/>
          <w:b/>
        </w:rPr>
        <w:t>XXIV Seminario di Formazione per Giornalisti della Agenzia “Redattore Sociale”</w:t>
      </w:r>
    </w:p>
    <w:p w:rsidR="008F3552" w:rsidRDefault="008F3552" w:rsidP="008F3552">
      <w:pPr>
        <w:ind w:left="284" w:right="566"/>
        <w:rPr>
          <w:rFonts w:ascii="Times New Roman" w:hAnsi="Times New Roman" w:cs="Times New Roman"/>
          <w:b/>
        </w:rPr>
      </w:pPr>
      <w:r>
        <w:rPr>
          <w:rFonts w:ascii="Times New Roman" w:hAnsi="Times New Roman" w:cs="Times New Roman"/>
          <w:b/>
        </w:rPr>
        <w:t>Sabato, 1 dicembre 2018</w:t>
      </w:r>
    </w:p>
    <w:p w:rsidR="008F3552" w:rsidRPr="008F3552" w:rsidRDefault="008F3552" w:rsidP="008F3552">
      <w:pPr>
        <w:spacing w:after="0" w:line="240" w:lineRule="auto"/>
        <w:ind w:left="284" w:right="566"/>
        <w:rPr>
          <w:rFonts w:ascii="Times New Roman" w:hAnsi="Times New Roman" w:cs="Times New Roman"/>
          <w:b/>
        </w:rPr>
      </w:pPr>
      <w:r w:rsidRPr="008F3552">
        <w:rPr>
          <w:rFonts w:ascii="Times New Roman" w:hAnsi="Times New Roman" w:cs="Times New Roman"/>
          <w:b/>
          <w:sz w:val="24"/>
          <w:szCs w:val="24"/>
        </w:rPr>
        <w:t>Sessione “Dai numeri all’ascolto”</w:t>
      </w:r>
    </w:p>
    <w:p w:rsidR="008F3552" w:rsidRDefault="008F3552" w:rsidP="008F3552">
      <w:pPr>
        <w:spacing w:after="0" w:line="240" w:lineRule="auto"/>
        <w:ind w:left="284" w:right="566"/>
        <w:jc w:val="both"/>
        <w:rPr>
          <w:rFonts w:ascii="Times New Roman" w:hAnsi="Times New Roman" w:cs="Times New Roman"/>
          <w:b/>
        </w:rPr>
      </w:pPr>
    </w:p>
    <w:p w:rsidR="008F3552" w:rsidRDefault="008F3552" w:rsidP="008F3552">
      <w:pPr>
        <w:spacing w:after="0" w:line="240" w:lineRule="auto"/>
        <w:ind w:left="284" w:right="566"/>
        <w:jc w:val="both"/>
        <w:rPr>
          <w:rFonts w:ascii="Times New Roman" w:hAnsi="Times New Roman" w:cs="Times New Roman"/>
          <w:b/>
        </w:rPr>
      </w:pPr>
      <w:r>
        <w:rPr>
          <w:rFonts w:ascii="Times New Roman" w:hAnsi="Times New Roman" w:cs="Times New Roman"/>
          <w:b/>
        </w:rPr>
        <w:t xml:space="preserve">Abstract dell’intervento di Marco Reggio </w:t>
      </w:r>
    </w:p>
    <w:p w:rsidR="008F3552" w:rsidRDefault="008F3552" w:rsidP="008F3552">
      <w:pPr>
        <w:spacing w:after="0" w:line="240" w:lineRule="auto"/>
        <w:ind w:left="284" w:right="566"/>
        <w:jc w:val="both"/>
        <w:rPr>
          <w:rFonts w:ascii="Times New Roman" w:hAnsi="Times New Roman" w:cs="Times New Roman"/>
          <w:i/>
        </w:rPr>
      </w:pPr>
      <w:r w:rsidRPr="008F3552">
        <w:rPr>
          <w:rFonts w:ascii="Times New Roman" w:hAnsi="Times New Roman" w:cs="Times New Roman"/>
          <w:i/>
        </w:rPr>
        <w:t xml:space="preserve">Responsabile Servizio Comunicazione e Knowledge Sharing Federcasse </w:t>
      </w:r>
    </w:p>
    <w:p w:rsidR="008F3552" w:rsidRPr="008F3552" w:rsidRDefault="008F3552" w:rsidP="008F3552">
      <w:pPr>
        <w:spacing w:after="0" w:line="240" w:lineRule="auto"/>
        <w:ind w:left="284" w:right="566"/>
        <w:jc w:val="both"/>
        <w:rPr>
          <w:rFonts w:ascii="Times New Roman" w:hAnsi="Times New Roman" w:cs="Times New Roman"/>
          <w:i/>
        </w:rPr>
      </w:pPr>
      <w:r w:rsidRPr="008F3552">
        <w:rPr>
          <w:rFonts w:ascii="Times New Roman" w:hAnsi="Times New Roman" w:cs="Times New Roman"/>
          <w:i/>
        </w:rPr>
        <w:t>(BCC Credito Cooperativo)</w:t>
      </w:r>
    </w:p>
    <w:p w:rsidR="008F3552" w:rsidRDefault="008F3552" w:rsidP="008F3552">
      <w:pPr>
        <w:spacing w:after="0" w:line="240" w:lineRule="auto"/>
        <w:ind w:left="284" w:right="566"/>
        <w:jc w:val="both"/>
        <w:rPr>
          <w:rFonts w:ascii="Times New Roman" w:hAnsi="Times New Roman" w:cs="Times New Roman"/>
          <w:b/>
        </w:rPr>
      </w:pPr>
    </w:p>
    <w:p w:rsidR="00491054" w:rsidRDefault="00491054" w:rsidP="008F3552">
      <w:pPr>
        <w:ind w:left="284" w:right="566"/>
        <w:jc w:val="both"/>
        <w:rPr>
          <w:rFonts w:ascii="Times New Roman" w:hAnsi="Times New Roman" w:cs="Times New Roman"/>
        </w:rPr>
      </w:pPr>
      <w:r>
        <w:rPr>
          <w:rFonts w:ascii="Times New Roman" w:hAnsi="Times New Roman" w:cs="Times New Roman"/>
        </w:rPr>
        <w:t>Il mio punto di osservazione è quello di un espo</w:t>
      </w:r>
      <w:r w:rsidR="008F3552">
        <w:rPr>
          <w:rFonts w:ascii="Times New Roman" w:hAnsi="Times New Roman" w:cs="Times New Roman"/>
        </w:rPr>
        <w:t>nente del sistema bancario. D</w:t>
      </w:r>
      <w:r>
        <w:rPr>
          <w:rFonts w:ascii="Times New Roman" w:hAnsi="Times New Roman" w:cs="Times New Roman"/>
        </w:rPr>
        <w:t>i un sistema bancario particolare, quello delle Banche di Credito Cooperativo e Casse Rurali. Banche “di comunità”. Banche che non perseguono la massimizzazione del profitto individuale ma, in quanto cooperative, tendono a conseguire un vantaggio collettivo (nello specifico, l’accesso al credito a condizioni più vantaggiose di quelle di mercato).</w:t>
      </w:r>
    </w:p>
    <w:p w:rsidR="00491054" w:rsidRDefault="00491054" w:rsidP="008F3552">
      <w:pPr>
        <w:ind w:left="284" w:right="566"/>
        <w:jc w:val="both"/>
        <w:rPr>
          <w:rFonts w:ascii="Times New Roman" w:hAnsi="Times New Roman" w:cs="Times New Roman"/>
        </w:rPr>
      </w:pPr>
      <w:r>
        <w:rPr>
          <w:rFonts w:ascii="Times New Roman" w:hAnsi="Times New Roman" w:cs="Times New Roman"/>
        </w:rPr>
        <w:t>In ogni caso, credo sia necessario partire da un dato “assoluto” (che tocca cioè tutto il sistema bancario italiano)</w:t>
      </w:r>
      <w:r w:rsidR="008F3552">
        <w:rPr>
          <w:rFonts w:ascii="Times New Roman" w:hAnsi="Times New Roman" w:cs="Times New Roman"/>
        </w:rPr>
        <w:t>,</w:t>
      </w:r>
      <w:r>
        <w:rPr>
          <w:rFonts w:ascii="Times New Roman" w:hAnsi="Times New Roman" w:cs="Times New Roman"/>
        </w:rPr>
        <w:t xml:space="preserve"> vale a dire la dinamica dei prestiti bancari nell’ultimo periodo.</w:t>
      </w:r>
    </w:p>
    <w:p w:rsidR="00491054" w:rsidRDefault="00491054" w:rsidP="008F3552">
      <w:pPr>
        <w:ind w:left="284" w:right="566"/>
        <w:jc w:val="both"/>
        <w:rPr>
          <w:rFonts w:ascii="Times New Roman" w:hAnsi="Times New Roman" w:cs="Times New Roman"/>
        </w:rPr>
      </w:pPr>
      <w:r>
        <w:rPr>
          <w:rFonts w:ascii="Times New Roman" w:hAnsi="Times New Roman" w:cs="Times New Roman"/>
        </w:rPr>
        <w:t xml:space="preserve">Ad ottobre, questi erano cresciuti del 9,5% su base annua. </w:t>
      </w:r>
      <w:r w:rsidR="008F3552">
        <w:rPr>
          <w:rFonts w:ascii="Times New Roman" w:hAnsi="Times New Roman" w:cs="Times New Roman"/>
        </w:rPr>
        <w:t xml:space="preserve">Con un </w:t>
      </w:r>
      <w:bookmarkStart w:id="0" w:name="_GoBack"/>
      <w:bookmarkEnd w:id="0"/>
      <w:r w:rsidR="001252AA">
        <w:rPr>
          <w:rFonts w:ascii="Times New Roman" w:hAnsi="Times New Roman" w:cs="Times New Roman"/>
        </w:rPr>
        <w:t>sorprendente +</w:t>
      </w:r>
      <w:r>
        <w:rPr>
          <w:rFonts w:ascii="Times New Roman" w:hAnsi="Times New Roman" w:cs="Times New Roman"/>
        </w:rPr>
        <w:t>17,2% per i prestiti personali (il risultato più alto degli ultimi dieci anni).</w:t>
      </w:r>
    </w:p>
    <w:p w:rsidR="007F0F45" w:rsidRDefault="009357A0" w:rsidP="008F3552">
      <w:pPr>
        <w:ind w:left="284" w:right="566"/>
        <w:jc w:val="both"/>
        <w:rPr>
          <w:rFonts w:ascii="Times New Roman" w:hAnsi="Times New Roman" w:cs="Times New Roman"/>
        </w:rPr>
      </w:pPr>
      <w:r>
        <w:rPr>
          <w:rFonts w:ascii="Times New Roman" w:hAnsi="Times New Roman" w:cs="Times New Roman"/>
        </w:rPr>
        <w:t>Il v</w:t>
      </w:r>
      <w:r w:rsidR="007F0F45" w:rsidRPr="007F0F45">
        <w:rPr>
          <w:rFonts w:ascii="Times New Roman" w:hAnsi="Times New Roman" w:cs="Times New Roman"/>
        </w:rPr>
        <w:t xml:space="preserve">alore medio </w:t>
      </w:r>
      <w:r>
        <w:rPr>
          <w:rFonts w:ascii="Times New Roman" w:hAnsi="Times New Roman" w:cs="Times New Roman"/>
        </w:rPr>
        <w:t>dell’</w:t>
      </w:r>
      <w:r w:rsidR="007F0F45" w:rsidRPr="007F0F45">
        <w:rPr>
          <w:rFonts w:ascii="Times New Roman" w:hAnsi="Times New Roman" w:cs="Times New Roman"/>
        </w:rPr>
        <w:t xml:space="preserve">importo richiesto: </w:t>
      </w:r>
      <w:r>
        <w:rPr>
          <w:rFonts w:ascii="Times New Roman" w:hAnsi="Times New Roman" w:cs="Times New Roman"/>
        </w:rPr>
        <w:t xml:space="preserve">è stato </w:t>
      </w:r>
      <w:r w:rsidRPr="009357A0">
        <w:rPr>
          <w:rFonts w:ascii="Times New Roman" w:hAnsi="Times New Roman" w:cs="Times New Roman"/>
        </w:rPr>
        <w:t xml:space="preserve">di </w:t>
      </w:r>
      <w:r w:rsidR="007F0F45" w:rsidRPr="009357A0">
        <w:rPr>
          <w:rFonts w:ascii="Times New Roman" w:hAnsi="Times New Roman" w:cs="Times New Roman"/>
        </w:rPr>
        <w:t>9.600 euro</w:t>
      </w:r>
      <w:r w:rsidR="007F0F45" w:rsidRPr="007F0F45">
        <w:rPr>
          <w:rFonts w:ascii="Times New Roman" w:hAnsi="Times New Roman" w:cs="Times New Roman"/>
        </w:rPr>
        <w:t xml:space="preserve"> (+ 4,1%)</w:t>
      </w:r>
      <w:r>
        <w:rPr>
          <w:rFonts w:ascii="Times New Roman" w:hAnsi="Times New Roman" w:cs="Times New Roman"/>
        </w:rPr>
        <w:t>, ma la “classe” di maggiore richiesta si è avuta per i prestiti fino a 5 mila euro (ben il 43%) con piani di rimborso oltre 60 mesi.</w:t>
      </w:r>
    </w:p>
    <w:p w:rsidR="009357A0" w:rsidRDefault="009357A0" w:rsidP="008F3552">
      <w:pPr>
        <w:ind w:left="284" w:right="566"/>
        <w:jc w:val="both"/>
        <w:rPr>
          <w:rFonts w:ascii="Times New Roman" w:hAnsi="Times New Roman" w:cs="Times New Roman"/>
        </w:rPr>
      </w:pPr>
      <w:r>
        <w:rPr>
          <w:rFonts w:ascii="Times New Roman" w:hAnsi="Times New Roman" w:cs="Times New Roman"/>
        </w:rPr>
        <w:t>A colpire, anche il dato della fascia d’età dei richiedenti. La principale ormai è quella che va dai 45 ai 54 anni (25% delle richieste), mentre con il crescere dell’età la richiesta di credito personale (familiare) si va affievolendo per fermarsi quasi dopo i 65 anni.</w:t>
      </w:r>
    </w:p>
    <w:p w:rsidR="009357A0" w:rsidRDefault="009357A0" w:rsidP="008F3552">
      <w:pPr>
        <w:ind w:left="284" w:right="566"/>
        <w:jc w:val="both"/>
        <w:rPr>
          <w:rFonts w:ascii="Times New Roman" w:hAnsi="Times New Roman" w:cs="Times New Roman"/>
        </w:rPr>
      </w:pPr>
      <w:r>
        <w:rPr>
          <w:rFonts w:ascii="Times New Roman" w:hAnsi="Times New Roman" w:cs="Times New Roman"/>
        </w:rPr>
        <w:t>Possiamo leggere questi dati unendoli a quelli che ogni anno vengono diffusi a proposito della segmentazione dei consumi</w:t>
      </w:r>
      <w:r w:rsidR="00C61C4E">
        <w:rPr>
          <w:rFonts w:ascii="Times New Roman" w:hAnsi="Times New Roman" w:cs="Times New Roman"/>
        </w:rPr>
        <w:t xml:space="preserve"> </w:t>
      </w:r>
      <w:r w:rsidR="008F3552">
        <w:rPr>
          <w:rFonts w:ascii="Times New Roman" w:hAnsi="Times New Roman" w:cs="Times New Roman"/>
        </w:rPr>
        <w:t xml:space="preserve">(es. Rapporto Coop, Censis, ecc.) </w:t>
      </w:r>
      <w:r w:rsidR="00C61C4E">
        <w:rPr>
          <w:rStyle w:val="Rimandonotaapidipagina"/>
          <w:rFonts w:ascii="Times New Roman" w:hAnsi="Times New Roman" w:cs="Times New Roman"/>
        </w:rPr>
        <w:footnoteReference w:id="1"/>
      </w:r>
      <w:r>
        <w:rPr>
          <w:rFonts w:ascii="Times New Roman" w:hAnsi="Times New Roman" w:cs="Times New Roman"/>
        </w:rPr>
        <w:t xml:space="preserve">. </w:t>
      </w:r>
    </w:p>
    <w:p w:rsidR="00C61C4E" w:rsidRDefault="009357A0" w:rsidP="008F3552">
      <w:pPr>
        <w:ind w:left="284" w:right="566"/>
        <w:jc w:val="both"/>
        <w:rPr>
          <w:rFonts w:ascii="Times New Roman" w:hAnsi="Times New Roman" w:cs="Times New Roman"/>
        </w:rPr>
      </w:pPr>
      <w:r>
        <w:rPr>
          <w:rFonts w:ascii="Times New Roman" w:hAnsi="Times New Roman" w:cs="Times New Roman"/>
        </w:rPr>
        <w:t>Intanto, stanno a significare una progressiva erosione del risparmio familiare (nel 2000, fatto cento il reddito disponibile, la ripartizione era 90% consumi e 10% risparmio. Oggi lo stesso rapporto è 93% consumi e 7% risparmio).  In secondo luogo, esiste ormai una categoria di fatto più “protetta” (non uso questo termine in senso qualitativo o di valore), che è quella degli attuali pensionati. Sappiamo come spesso oggi il reddito da pensione sia una sorta di serbatoio, una sorta di welfare familiare.</w:t>
      </w:r>
      <w:r w:rsidR="00C20173">
        <w:rPr>
          <w:rFonts w:ascii="Times New Roman" w:hAnsi="Times New Roman" w:cs="Times New Roman"/>
        </w:rPr>
        <w:t xml:space="preserve"> </w:t>
      </w:r>
      <w:r w:rsidR="00C61C4E">
        <w:rPr>
          <w:rFonts w:ascii="Times New Roman" w:hAnsi="Times New Roman" w:cs="Times New Roman"/>
        </w:rPr>
        <w:t xml:space="preserve">Altra cartina di tornasole, quella del </w:t>
      </w:r>
      <w:r w:rsidR="00C61C4E" w:rsidRPr="00C61C4E">
        <w:rPr>
          <w:rFonts w:ascii="Times New Roman" w:hAnsi="Times New Roman" w:cs="Times New Roman"/>
          <w:b/>
        </w:rPr>
        <w:t>microcredito</w:t>
      </w:r>
      <w:r w:rsidR="00C61C4E">
        <w:rPr>
          <w:rFonts w:ascii="Times New Roman" w:hAnsi="Times New Roman" w:cs="Times New Roman"/>
        </w:rPr>
        <w:t>. Sappiamo come dal 2014 la legge abbia disciplinato questa particolare forma di prestiti (microcredito sociale con importo massimo di 10 mila euro senza garanzia reale; microcredito produttivo massimo 25 mila euro senza garanzia reale) con rimborsi fino a 60 mesi.</w:t>
      </w:r>
    </w:p>
    <w:p w:rsidR="00C61C4E" w:rsidRDefault="00C61C4E" w:rsidP="008F3552">
      <w:pPr>
        <w:ind w:left="284" w:right="566"/>
        <w:jc w:val="both"/>
        <w:rPr>
          <w:rFonts w:ascii="Times New Roman" w:hAnsi="Times New Roman" w:cs="Times New Roman"/>
        </w:rPr>
      </w:pPr>
      <w:r>
        <w:rPr>
          <w:rFonts w:ascii="Times New Roman" w:hAnsi="Times New Roman" w:cs="Times New Roman"/>
        </w:rPr>
        <w:lastRenderedPageBreak/>
        <w:t xml:space="preserve">Ebbene, gli ultimi dati (ottobre 2018) ci dicono che nell’ultimo anno le richieste di microcredito sono cresciute del </w:t>
      </w:r>
      <w:r w:rsidRPr="00C61C4E">
        <w:rPr>
          <w:rFonts w:ascii="Times New Roman" w:hAnsi="Times New Roman" w:cs="Times New Roman"/>
          <w:b/>
        </w:rPr>
        <w:t>249%</w:t>
      </w:r>
      <w:r>
        <w:rPr>
          <w:rFonts w:ascii="Times New Roman" w:hAnsi="Times New Roman" w:cs="Times New Roman"/>
        </w:rPr>
        <w:t xml:space="preserve"> e sono in continua ascesa, con un importo erogato passato dai </w:t>
      </w:r>
      <w:r w:rsidRPr="00620535">
        <w:rPr>
          <w:rFonts w:ascii="Times New Roman" w:hAnsi="Times New Roman" w:cs="Times New Roman"/>
          <w:b/>
        </w:rPr>
        <w:t>13,7</w:t>
      </w:r>
      <w:r>
        <w:rPr>
          <w:rFonts w:ascii="Times New Roman" w:hAnsi="Times New Roman" w:cs="Times New Roman"/>
        </w:rPr>
        <w:t xml:space="preserve"> milioni a  </w:t>
      </w:r>
      <w:r w:rsidRPr="00620535">
        <w:rPr>
          <w:rFonts w:ascii="Times New Roman" w:hAnsi="Times New Roman" w:cs="Times New Roman"/>
          <w:b/>
        </w:rPr>
        <w:t>24,4</w:t>
      </w:r>
      <w:r>
        <w:rPr>
          <w:rFonts w:ascii="Times New Roman" w:hAnsi="Times New Roman" w:cs="Times New Roman"/>
        </w:rPr>
        <w:t xml:space="preserve">. </w:t>
      </w:r>
      <w:r w:rsidR="00C20173">
        <w:rPr>
          <w:rFonts w:ascii="Times New Roman" w:hAnsi="Times New Roman" w:cs="Times New Roman"/>
        </w:rPr>
        <w:t>Fonte: ente nazionale microcredito.</w:t>
      </w:r>
    </w:p>
    <w:p w:rsidR="009357A0" w:rsidRDefault="00620535" w:rsidP="008F3552">
      <w:pPr>
        <w:ind w:left="284" w:right="566"/>
        <w:jc w:val="both"/>
        <w:rPr>
          <w:rFonts w:ascii="Times New Roman" w:hAnsi="Times New Roman" w:cs="Times New Roman"/>
        </w:rPr>
      </w:pPr>
      <w:r>
        <w:rPr>
          <w:rFonts w:ascii="Times New Roman" w:hAnsi="Times New Roman" w:cs="Times New Roman"/>
        </w:rPr>
        <w:t>Sul microcredito, va ricordato che è una formula di prestito che viene anche promosso da soggetti non bancari (Conferenza episcopale, enti di solidarietà, partiti politici come nel caso del Movimento Cinque Stelle che ad ottobre aveva già esaurito il plafond  - sostenuto con quota parte dei compensi dei parlamentari aderenti al movimento -  di 177 mila euro).</w:t>
      </w:r>
    </w:p>
    <w:p w:rsidR="00C20173" w:rsidRDefault="00C20173" w:rsidP="008F3552">
      <w:pPr>
        <w:ind w:left="284" w:right="566"/>
        <w:jc w:val="both"/>
        <w:rPr>
          <w:rFonts w:ascii="Times New Roman" w:hAnsi="Times New Roman" w:cs="Times New Roman"/>
        </w:rPr>
      </w:pPr>
      <w:r>
        <w:rPr>
          <w:rFonts w:ascii="Times New Roman" w:hAnsi="Times New Roman" w:cs="Times New Roman"/>
        </w:rPr>
        <w:t>A parte, come segno del disagio, l’aumento del fenomeno dell’</w:t>
      </w:r>
      <w:r w:rsidRPr="00C20173">
        <w:rPr>
          <w:rFonts w:ascii="Times New Roman" w:hAnsi="Times New Roman" w:cs="Times New Roman"/>
          <w:b/>
        </w:rPr>
        <w:t>usura</w:t>
      </w:r>
      <w:r>
        <w:rPr>
          <w:rFonts w:ascii="Times New Roman" w:hAnsi="Times New Roman" w:cs="Times New Roman"/>
        </w:rPr>
        <w:t xml:space="preserve"> (oggi si calcola un giro d’affari di 24 miliardi di euro, e colpisce almeno 200 mila imprenditori) e quello del gioco d’azzardo compulsivo (</w:t>
      </w:r>
      <w:r w:rsidRPr="00C20173">
        <w:rPr>
          <w:rFonts w:ascii="Times New Roman" w:hAnsi="Times New Roman" w:cs="Times New Roman"/>
          <w:b/>
        </w:rPr>
        <w:t>ludopatia</w:t>
      </w:r>
      <w:r>
        <w:rPr>
          <w:rFonts w:ascii="Times New Roman" w:hAnsi="Times New Roman" w:cs="Times New Roman"/>
        </w:rPr>
        <w:t>).</w:t>
      </w:r>
    </w:p>
    <w:p w:rsidR="00620535" w:rsidRDefault="001F6774" w:rsidP="008F3552">
      <w:pPr>
        <w:ind w:left="284" w:right="566"/>
        <w:jc w:val="both"/>
        <w:rPr>
          <w:rFonts w:ascii="Times New Roman" w:hAnsi="Times New Roman" w:cs="Times New Roman"/>
        </w:rPr>
      </w:pPr>
      <w:r>
        <w:rPr>
          <w:rFonts w:ascii="Times New Roman" w:hAnsi="Times New Roman" w:cs="Times New Roman"/>
        </w:rPr>
        <w:t>E’ allora possibile fare un “identikit”  di chi oggi si può considerare “solo” in senso economico?</w:t>
      </w:r>
    </w:p>
    <w:p w:rsidR="00C20173" w:rsidRDefault="001F6774" w:rsidP="008F3552">
      <w:pPr>
        <w:ind w:left="284" w:right="566"/>
        <w:jc w:val="both"/>
        <w:rPr>
          <w:rFonts w:ascii="Times New Roman" w:hAnsi="Times New Roman" w:cs="Times New Roman"/>
        </w:rPr>
      </w:pPr>
      <w:r>
        <w:rPr>
          <w:rFonts w:ascii="Times New Roman" w:hAnsi="Times New Roman" w:cs="Times New Roman"/>
        </w:rPr>
        <w:t xml:space="preserve">Certamente sì. Se volessimo generalizzare, lo individueremmo in una persona attorno ai 35 – 40 anni, che vive prevalentemente al sud, ha una bassa scolarità; non cerca un lavoro (se lo trova è uno dei mille lavori precari); ha un gap formativo con i suoi pari età europei; ha difficoltà a “mettere su famiglia” e deve ancora contare sull’aiuto dei genitori o sulla pensione dei nonni. </w:t>
      </w:r>
      <w:r w:rsidR="00C20173">
        <w:rPr>
          <w:rFonts w:ascii="Times New Roman" w:hAnsi="Times New Roman" w:cs="Times New Roman"/>
        </w:rPr>
        <w:t>Se può  spendere, cerca</w:t>
      </w:r>
      <w:r w:rsidR="00C20173" w:rsidRPr="00C20173">
        <w:rPr>
          <w:rFonts w:ascii="Times New Roman" w:hAnsi="Times New Roman" w:cs="Times New Roman"/>
        </w:rPr>
        <w:t xml:space="preserve"> sollievo in beni voluttuari ed in grado di generare soddisfacimento a breve termine.</w:t>
      </w:r>
    </w:p>
    <w:p w:rsidR="001F6774" w:rsidRDefault="001F6774" w:rsidP="008F3552">
      <w:pPr>
        <w:ind w:left="284" w:right="566"/>
        <w:jc w:val="both"/>
        <w:rPr>
          <w:rFonts w:ascii="Times New Roman" w:hAnsi="Times New Roman" w:cs="Times New Roman"/>
        </w:rPr>
      </w:pPr>
      <w:r>
        <w:rPr>
          <w:rFonts w:ascii="Times New Roman" w:hAnsi="Times New Roman" w:cs="Times New Roman"/>
        </w:rPr>
        <w:t>Un quadro disarmante.</w:t>
      </w:r>
    </w:p>
    <w:p w:rsidR="001F6774" w:rsidRDefault="001F6774" w:rsidP="008F3552">
      <w:pPr>
        <w:ind w:left="284" w:right="566"/>
        <w:rPr>
          <w:rFonts w:ascii="Times New Roman" w:hAnsi="Times New Roman" w:cs="Times New Roman"/>
        </w:rPr>
      </w:pPr>
      <w:r>
        <w:rPr>
          <w:rFonts w:ascii="Times New Roman" w:hAnsi="Times New Roman" w:cs="Times New Roman"/>
        </w:rPr>
        <w:t>Perché siamo arrivati a questo?</w:t>
      </w:r>
    </w:p>
    <w:p w:rsidR="001F6774" w:rsidRDefault="001F6774" w:rsidP="008F3552">
      <w:pPr>
        <w:ind w:left="284" w:right="566"/>
        <w:rPr>
          <w:rFonts w:ascii="Times New Roman" w:hAnsi="Times New Roman" w:cs="Times New Roman"/>
        </w:rPr>
      </w:pPr>
      <w:r>
        <w:rPr>
          <w:rFonts w:ascii="Times New Roman" w:hAnsi="Times New Roman" w:cs="Times New Roman"/>
        </w:rPr>
        <w:t xml:space="preserve">Sicuramente è il </w:t>
      </w:r>
      <w:r w:rsidRPr="001F6774">
        <w:rPr>
          <w:rFonts w:ascii="Times New Roman" w:hAnsi="Times New Roman" w:cs="Times New Roman"/>
          <w:b/>
        </w:rPr>
        <w:t>fallimento di un modello di sviluppo</w:t>
      </w:r>
      <w:r>
        <w:rPr>
          <w:rFonts w:ascii="Times New Roman" w:hAnsi="Times New Roman" w:cs="Times New Roman"/>
        </w:rPr>
        <w:t xml:space="preserve"> (quello basato sul mercato che si autoregola e che non può che crescer</w:t>
      </w:r>
      <w:r w:rsidR="00C22F2A">
        <w:rPr>
          <w:rFonts w:ascii="Times New Roman" w:hAnsi="Times New Roman" w:cs="Times New Roman"/>
        </w:rPr>
        <w:t>e, generando benessere diffuso).</w:t>
      </w:r>
    </w:p>
    <w:p w:rsidR="00C22F2A" w:rsidRDefault="00C22F2A" w:rsidP="00C20173">
      <w:pPr>
        <w:ind w:left="284" w:right="566"/>
        <w:jc w:val="both"/>
        <w:rPr>
          <w:rFonts w:ascii="Times New Roman" w:hAnsi="Times New Roman" w:cs="Times New Roman"/>
        </w:rPr>
      </w:pPr>
      <w:r>
        <w:rPr>
          <w:rFonts w:ascii="Times New Roman" w:hAnsi="Times New Roman" w:cs="Times New Roman"/>
        </w:rPr>
        <w:t>Come direbbe il professor Leonardo Becchetti, esiste una “</w:t>
      </w:r>
      <w:r w:rsidRPr="00C22F2A">
        <w:rPr>
          <w:rFonts w:ascii="Times New Roman" w:hAnsi="Times New Roman" w:cs="Times New Roman"/>
          <w:b/>
        </w:rPr>
        <w:t>carestia di speranza</w:t>
      </w:r>
      <w:r>
        <w:rPr>
          <w:rFonts w:ascii="Times New Roman" w:hAnsi="Times New Roman" w:cs="Times New Roman"/>
        </w:rPr>
        <w:t>” che poi ha fatto sì che il primo legame sociale – quello basato sulla fiducia – si sfilacciasse fino al punto di rompersi.</w:t>
      </w:r>
    </w:p>
    <w:p w:rsidR="00C22F2A" w:rsidRDefault="00C22F2A" w:rsidP="00C20173">
      <w:pPr>
        <w:ind w:left="284" w:right="566"/>
        <w:jc w:val="both"/>
        <w:rPr>
          <w:rFonts w:ascii="Times New Roman" w:hAnsi="Times New Roman" w:cs="Times New Roman"/>
        </w:rPr>
      </w:pPr>
      <w:r>
        <w:rPr>
          <w:rFonts w:ascii="Times New Roman" w:hAnsi="Times New Roman" w:cs="Times New Roman"/>
        </w:rPr>
        <w:t>Ne sono una riprova le inquietudini sociali, la rabbia repressa, il livore che si diffonde in rete, la paura del diverso, ecc.</w:t>
      </w:r>
    </w:p>
    <w:p w:rsidR="00C22F2A" w:rsidRDefault="00C22F2A" w:rsidP="008F3552">
      <w:pPr>
        <w:ind w:left="284" w:right="566"/>
        <w:jc w:val="both"/>
        <w:rPr>
          <w:rFonts w:ascii="Times New Roman" w:hAnsi="Times New Roman" w:cs="Times New Roman"/>
        </w:rPr>
      </w:pPr>
      <w:r>
        <w:rPr>
          <w:rFonts w:ascii="Times New Roman" w:hAnsi="Times New Roman" w:cs="Times New Roman"/>
        </w:rPr>
        <w:t xml:space="preserve">Occorre quindi </w:t>
      </w:r>
      <w:r w:rsidRPr="00C22F2A">
        <w:rPr>
          <w:rFonts w:ascii="Times New Roman" w:hAnsi="Times New Roman" w:cs="Times New Roman"/>
          <w:b/>
        </w:rPr>
        <w:t>ricucire legami di fiducia</w:t>
      </w:r>
      <w:r>
        <w:rPr>
          <w:rFonts w:ascii="Times New Roman" w:hAnsi="Times New Roman" w:cs="Times New Roman"/>
          <w:b/>
        </w:rPr>
        <w:t xml:space="preserve"> </w:t>
      </w:r>
      <w:r w:rsidRPr="00C22F2A">
        <w:rPr>
          <w:rFonts w:ascii="Times New Roman" w:hAnsi="Times New Roman" w:cs="Times New Roman"/>
        </w:rPr>
        <w:t>(e dare il giusto valore ai cosiddetti</w:t>
      </w:r>
      <w:r>
        <w:rPr>
          <w:rFonts w:ascii="Times New Roman" w:hAnsi="Times New Roman" w:cs="Times New Roman"/>
          <w:b/>
        </w:rPr>
        <w:t xml:space="preserve"> “beni relazionali”</w:t>
      </w:r>
      <w:r w:rsidRPr="00C22F2A">
        <w:rPr>
          <w:rFonts w:ascii="Times New Roman" w:hAnsi="Times New Roman" w:cs="Times New Roman"/>
        </w:rPr>
        <w:t>).</w:t>
      </w:r>
      <w:r>
        <w:rPr>
          <w:rFonts w:ascii="Times New Roman" w:hAnsi="Times New Roman" w:cs="Times New Roman"/>
        </w:rPr>
        <w:t xml:space="preserve"> Che nell’esperienza storica sono poi quelli che si basano su forme di cooperazione, di condivisione, di partecipazione.</w:t>
      </w:r>
    </w:p>
    <w:p w:rsidR="00C22F2A" w:rsidRDefault="00C22F2A" w:rsidP="008F3552">
      <w:pPr>
        <w:ind w:left="284" w:right="566"/>
        <w:jc w:val="both"/>
        <w:rPr>
          <w:rFonts w:ascii="Times New Roman" w:hAnsi="Times New Roman" w:cs="Times New Roman"/>
        </w:rPr>
      </w:pPr>
      <w:r>
        <w:rPr>
          <w:rFonts w:ascii="Times New Roman" w:hAnsi="Times New Roman" w:cs="Times New Roman"/>
        </w:rPr>
        <w:t xml:space="preserve">Potremmo dire che non c’è nulla di nuovo sotto il sole. La teoria economica  - e la Teoria dei Giochi - ci  spiegano bene quale sia  il “dilemma sociale” da risolvere, e cioè il fatto che ogni relazione umana avviene sotto tre condizioni: </w:t>
      </w:r>
      <w:r w:rsidRPr="00C22F2A">
        <w:rPr>
          <w:rFonts w:ascii="Times New Roman" w:hAnsi="Times New Roman" w:cs="Times New Roman"/>
          <w:b/>
        </w:rPr>
        <w:t>imperfezione informativa</w:t>
      </w:r>
      <w:r>
        <w:rPr>
          <w:rFonts w:ascii="Times New Roman" w:hAnsi="Times New Roman" w:cs="Times New Roman"/>
        </w:rPr>
        <w:t xml:space="preserve"> (non conosciamo fino a fondo l’altro con cui dobbiamo interloquire); </w:t>
      </w:r>
      <w:r w:rsidRPr="00C22F2A">
        <w:rPr>
          <w:rFonts w:ascii="Times New Roman" w:hAnsi="Times New Roman" w:cs="Times New Roman"/>
          <w:b/>
        </w:rPr>
        <w:t>incompletezza contrattuale</w:t>
      </w:r>
      <w:r>
        <w:rPr>
          <w:rFonts w:ascii="Times New Roman" w:hAnsi="Times New Roman" w:cs="Times New Roman"/>
        </w:rPr>
        <w:t xml:space="preserve"> (non possiamo definire regole per ogni ipotesi che possa nascere nella relazione); </w:t>
      </w:r>
      <w:r w:rsidRPr="00C22F2A">
        <w:rPr>
          <w:rFonts w:ascii="Times New Roman" w:hAnsi="Times New Roman" w:cs="Times New Roman"/>
          <w:b/>
        </w:rPr>
        <w:t>non sovrapponibilità delle competenze</w:t>
      </w:r>
      <w:r>
        <w:rPr>
          <w:rFonts w:ascii="Times New Roman" w:hAnsi="Times New Roman" w:cs="Times New Roman"/>
        </w:rPr>
        <w:t xml:space="preserve"> (abbiamo necessariamente bisogno degli altri). </w:t>
      </w:r>
      <w:r w:rsidR="00C20173">
        <w:rPr>
          <w:rFonts w:ascii="Times New Roman" w:hAnsi="Times New Roman" w:cs="Times New Roman"/>
        </w:rPr>
        <w:t>Se ci si fa avvolgere da questa ragnatela di incompiutezze, si sprofonda nel baratro della solitudine.</w:t>
      </w:r>
    </w:p>
    <w:p w:rsidR="00C22F2A" w:rsidRDefault="00C22F2A" w:rsidP="008F3552">
      <w:pPr>
        <w:ind w:left="284" w:right="566"/>
        <w:jc w:val="both"/>
        <w:rPr>
          <w:rFonts w:ascii="Times New Roman" w:hAnsi="Times New Roman" w:cs="Times New Roman"/>
        </w:rPr>
      </w:pPr>
      <w:r w:rsidRPr="00C22F2A">
        <w:rPr>
          <w:rFonts w:ascii="Times New Roman" w:hAnsi="Times New Roman" w:cs="Times New Roman"/>
          <w:b/>
        </w:rPr>
        <w:t>Questo “dilemma sociale” si supera solo ricucendo, appunto, legami di fiducia e creando qualità nelle relazioni</w:t>
      </w:r>
      <w:r>
        <w:rPr>
          <w:rFonts w:ascii="Times New Roman" w:hAnsi="Times New Roman" w:cs="Times New Roman"/>
        </w:rPr>
        <w:t>. Ciò genera quella che gli economisti (che si rifanno alla grande scuola italiana dell’Economia Civile) chiamano “</w:t>
      </w:r>
      <w:r w:rsidRPr="00C20173">
        <w:rPr>
          <w:rFonts w:ascii="Times New Roman" w:hAnsi="Times New Roman" w:cs="Times New Roman"/>
          <w:i/>
        </w:rPr>
        <w:t>superadditività</w:t>
      </w:r>
      <w:r>
        <w:rPr>
          <w:rFonts w:ascii="Times New Roman" w:hAnsi="Times New Roman" w:cs="Times New Roman"/>
        </w:rPr>
        <w:t>”. Perché insieme si produce più della somma di ciò che saremmo riusciti a far</w:t>
      </w:r>
      <w:r w:rsidR="00C20173">
        <w:rPr>
          <w:rFonts w:ascii="Times New Roman" w:hAnsi="Times New Roman" w:cs="Times New Roman"/>
        </w:rPr>
        <w:t>e</w:t>
      </w:r>
      <w:r>
        <w:rPr>
          <w:rFonts w:ascii="Times New Roman" w:hAnsi="Times New Roman" w:cs="Times New Roman"/>
        </w:rPr>
        <w:t xml:space="preserve"> da soli.</w:t>
      </w:r>
    </w:p>
    <w:p w:rsidR="00C22F2A" w:rsidRDefault="00C22F2A" w:rsidP="008F3552">
      <w:pPr>
        <w:ind w:left="284" w:right="566"/>
        <w:jc w:val="both"/>
        <w:rPr>
          <w:rFonts w:ascii="Times New Roman" w:hAnsi="Times New Roman" w:cs="Times New Roman"/>
        </w:rPr>
      </w:pPr>
      <w:r>
        <w:rPr>
          <w:rFonts w:ascii="Times New Roman" w:hAnsi="Times New Roman" w:cs="Times New Roman"/>
        </w:rPr>
        <w:lastRenderedPageBreak/>
        <w:t>E’ evidente che per fare questo occorre avere una precisa “visione” dell’evoluzione sociale e della funzione della politica. Non parliamo di utopie, ma di possibili soluzioni da mettere in campo che già si stanno sperimentando</w:t>
      </w:r>
      <w:r w:rsidR="00C20173">
        <w:rPr>
          <w:rFonts w:ascii="Times New Roman" w:hAnsi="Times New Roman" w:cs="Times New Roman"/>
        </w:rPr>
        <w:t>,</w:t>
      </w:r>
      <w:r>
        <w:rPr>
          <w:rFonts w:ascii="Times New Roman" w:hAnsi="Times New Roman" w:cs="Times New Roman"/>
        </w:rPr>
        <w:t xml:space="preserve"> ad esempio sul terreno del welfare (cooperative sociali, di comunità, anche con il contributo di banche di comunità in grado di mettere insieme le migliori risorse del territorio e di creare un circuito di fiducia), come anche della finanza sostenibile, della strutturazione urbana, del lavoro (emblematica l’esperienza dei </w:t>
      </w:r>
      <w:r w:rsidRPr="008F3552">
        <w:rPr>
          <w:rFonts w:ascii="Times New Roman" w:hAnsi="Times New Roman" w:cs="Times New Roman"/>
          <w:i/>
        </w:rPr>
        <w:t>workers buy.out</w:t>
      </w:r>
      <w:r>
        <w:rPr>
          <w:rFonts w:ascii="Times New Roman" w:hAnsi="Times New Roman" w:cs="Times New Roman"/>
        </w:rPr>
        <w:t>).</w:t>
      </w:r>
    </w:p>
    <w:p w:rsidR="008F3552" w:rsidRPr="008F3552" w:rsidRDefault="008F3552" w:rsidP="008F3552">
      <w:pPr>
        <w:ind w:left="284" w:right="566"/>
        <w:rPr>
          <w:rFonts w:ascii="Times New Roman" w:hAnsi="Times New Roman" w:cs="Times New Roman"/>
          <w:b/>
        </w:rPr>
      </w:pPr>
      <w:r w:rsidRPr="008F3552">
        <w:rPr>
          <w:rFonts w:ascii="Times New Roman" w:hAnsi="Times New Roman" w:cs="Times New Roman"/>
          <w:b/>
        </w:rPr>
        <w:t>***</w:t>
      </w:r>
    </w:p>
    <w:sectPr w:rsidR="008F3552" w:rsidRPr="008F355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E2" w:rsidRDefault="00C308E2" w:rsidP="00C61C4E">
      <w:pPr>
        <w:spacing w:after="0" w:line="240" w:lineRule="auto"/>
      </w:pPr>
      <w:r>
        <w:separator/>
      </w:r>
    </w:p>
  </w:endnote>
  <w:endnote w:type="continuationSeparator" w:id="0">
    <w:p w:rsidR="00C308E2" w:rsidRDefault="00C308E2" w:rsidP="00C61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080915"/>
      <w:docPartObj>
        <w:docPartGallery w:val="Page Numbers (Bottom of Page)"/>
        <w:docPartUnique/>
      </w:docPartObj>
    </w:sdtPr>
    <w:sdtEndPr/>
    <w:sdtContent>
      <w:p w:rsidR="008F3552" w:rsidRDefault="008F3552">
        <w:pPr>
          <w:pStyle w:val="Pidipagina"/>
          <w:jc w:val="right"/>
        </w:pPr>
        <w:r>
          <w:fldChar w:fldCharType="begin"/>
        </w:r>
        <w:r>
          <w:instrText>PAGE   \* MERGEFORMAT</w:instrText>
        </w:r>
        <w:r>
          <w:fldChar w:fldCharType="separate"/>
        </w:r>
        <w:r w:rsidR="001252AA">
          <w:rPr>
            <w:noProof/>
          </w:rPr>
          <w:t>2</w:t>
        </w:r>
        <w:r>
          <w:fldChar w:fldCharType="end"/>
        </w:r>
      </w:p>
    </w:sdtContent>
  </w:sdt>
  <w:p w:rsidR="008F3552" w:rsidRDefault="008F35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E2" w:rsidRDefault="00C308E2" w:rsidP="00C61C4E">
      <w:pPr>
        <w:spacing w:after="0" w:line="240" w:lineRule="auto"/>
      </w:pPr>
      <w:r>
        <w:separator/>
      </w:r>
    </w:p>
  </w:footnote>
  <w:footnote w:type="continuationSeparator" w:id="0">
    <w:p w:rsidR="00C308E2" w:rsidRDefault="00C308E2" w:rsidP="00C61C4E">
      <w:pPr>
        <w:spacing w:after="0" w:line="240" w:lineRule="auto"/>
      </w:pPr>
      <w:r>
        <w:continuationSeparator/>
      </w:r>
    </w:p>
  </w:footnote>
  <w:footnote w:id="1">
    <w:p w:rsidR="008F3552" w:rsidRPr="00C61C4E" w:rsidRDefault="008F3552" w:rsidP="00C20173">
      <w:pPr>
        <w:pStyle w:val="Paragrafoelenco"/>
        <w:ind w:left="284" w:right="566"/>
        <w:jc w:val="both"/>
        <w:rPr>
          <w:rFonts w:ascii="Times New Roman" w:hAnsi="Times New Roman" w:cs="Times New Roman"/>
          <w:sz w:val="20"/>
          <w:szCs w:val="20"/>
        </w:rPr>
      </w:pPr>
      <w:r w:rsidRPr="00C61C4E">
        <w:rPr>
          <w:rStyle w:val="Rimandonotaapidipagina"/>
          <w:rFonts w:ascii="Times New Roman" w:hAnsi="Times New Roman" w:cs="Times New Roman"/>
          <w:sz w:val="20"/>
          <w:szCs w:val="20"/>
        </w:rPr>
        <w:footnoteRef/>
      </w:r>
      <w:r w:rsidRPr="00C61C4E">
        <w:rPr>
          <w:rFonts w:ascii="Times New Roman" w:hAnsi="Times New Roman" w:cs="Times New Roman"/>
          <w:sz w:val="20"/>
          <w:szCs w:val="20"/>
        </w:rPr>
        <w:t xml:space="preserve">  Spesa</w:t>
      </w:r>
      <w:r>
        <w:rPr>
          <w:rFonts w:ascii="Times New Roman" w:hAnsi="Times New Roman" w:cs="Times New Roman"/>
          <w:sz w:val="20"/>
          <w:szCs w:val="20"/>
        </w:rPr>
        <w:t xml:space="preserve"> media mensile delle famiglie: </w:t>
      </w:r>
      <w:r w:rsidRPr="00C61C4E">
        <w:rPr>
          <w:rFonts w:ascii="Times New Roman" w:hAnsi="Times New Roman" w:cs="Times New Roman"/>
          <w:sz w:val="20"/>
          <w:szCs w:val="20"/>
        </w:rPr>
        <w:t>no</w:t>
      </w:r>
      <w:r w:rsidR="00C20173">
        <w:rPr>
          <w:rFonts w:ascii="Times New Roman" w:hAnsi="Times New Roman" w:cs="Times New Roman"/>
          <w:sz w:val="20"/>
          <w:szCs w:val="20"/>
        </w:rPr>
        <w:t>rd ovest 2.875 euro; nord est 2.844; centro 2.679, Sud 2.071, isole 1.</w:t>
      </w:r>
      <w:r w:rsidRPr="00C61C4E">
        <w:rPr>
          <w:rFonts w:ascii="Times New Roman" w:hAnsi="Times New Roman" w:cs="Times New Roman"/>
          <w:sz w:val="20"/>
          <w:szCs w:val="20"/>
        </w:rPr>
        <w:t xml:space="preserve">900. </w:t>
      </w:r>
      <w:r w:rsidR="00C20173">
        <w:rPr>
          <w:rFonts w:ascii="Times New Roman" w:hAnsi="Times New Roman" w:cs="Times New Roman"/>
          <w:sz w:val="20"/>
          <w:szCs w:val="20"/>
        </w:rPr>
        <w:t>In crescita del 15% le spese p</w:t>
      </w:r>
      <w:r>
        <w:rPr>
          <w:rFonts w:ascii="Times New Roman" w:hAnsi="Times New Roman" w:cs="Times New Roman"/>
          <w:sz w:val="20"/>
          <w:szCs w:val="20"/>
        </w:rPr>
        <w:t xml:space="preserve">er tlc (e tecnologia connessa), del 7,8 per alberghi e ristoranti; del 4,2% per abitazione; del 3% per servizi sanitari. In discesa del 10% le spese alimentari; del 5,6% quelle per l’istruzione; del 15% </w:t>
      </w:r>
      <w:r w:rsidR="00C20173">
        <w:rPr>
          <w:rFonts w:ascii="Times New Roman" w:hAnsi="Times New Roman" w:cs="Times New Roman"/>
          <w:sz w:val="20"/>
          <w:szCs w:val="20"/>
        </w:rPr>
        <w:t>quelle per i trasporti</w:t>
      </w:r>
      <w:r>
        <w:rPr>
          <w:rFonts w:ascii="Times New Roman" w:hAnsi="Times New Roman" w:cs="Times New Roman"/>
          <w:sz w:val="20"/>
          <w:szCs w:val="20"/>
        </w:rPr>
        <w:t xml:space="preserve">. </w:t>
      </w:r>
      <w:r w:rsidRPr="00C61C4E">
        <w:rPr>
          <w:rFonts w:ascii="Times New Roman" w:hAnsi="Times New Roman" w:cs="Times New Roman"/>
          <w:sz w:val="20"/>
          <w:szCs w:val="20"/>
        </w:rPr>
        <w:t xml:space="preserve">In aumento le persone a rischio povertà (18,9% del totale nel 2004; 20,6 oggi). Si confermano dei “gap strutturali”: </w:t>
      </w:r>
      <w:r w:rsidRPr="00C61C4E">
        <w:rPr>
          <w:rFonts w:ascii="Times New Roman" w:hAnsi="Times New Roman" w:cs="Times New Roman"/>
          <w:i/>
          <w:sz w:val="20"/>
          <w:szCs w:val="20"/>
        </w:rPr>
        <w:t>bassa scolarità</w:t>
      </w:r>
      <w:r w:rsidRPr="00C61C4E">
        <w:rPr>
          <w:rFonts w:ascii="Times New Roman" w:hAnsi="Times New Roman" w:cs="Times New Roman"/>
          <w:sz w:val="20"/>
          <w:szCs w:val="20"/>
        </w:rPr>
        <w:t xml:space="preserve"> (i redditi più bassi di concentrano nella fascia di popolazione meno istruita tra i 30 e 40 enni), come anche la bassa natalità (nel gennaio 2018 risiedevano in Italia 482 mila persone over 80. Mentre tutte le nascite del 2017 sono state 458 mila).</w:t>
      </w:r>
    </w:p>
    <w:p w:rsidR="008F3552" w:rsidRDefault="008F3552">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6D301C"/>
    <w:multiLevelType w:val="hybridMultilevel"/>
    <w:tmpl w:val="DF4C09DA"/>
    <w:lvl w:ilvl="0" w:tplc="277AC56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45"/>
    <w:rsid w:val="000710E3"/>
    <w:rsid w:val="00075656"/>
    <w:rsid w:val="000C239C"/>
    <w:rsid w:val="001252AA"/>
    <w:rsid w:val="001E4B3D"/>
    <w:rsid w:val="001F6774"/>
    <w:rsid w:val="002E75DB"/>
    <w:rsid w:val="0034365D"/>
    <w:rsid w:val="00491054"/>
    <w:rsid w:val="005F36F8"/>
    <w:rsid w:val="00620535"/>
    <w:rsid w:val="006A2262"/>
    <w:rsid w:val="007F0F45"/>
    <w:rsid w:val="008F3552"/>
    <w:rsid w:val="009357A0"/>
    <w:rsid w:val="00A0117C"/>
    <w:rsid w:val="00A131A5"/>
    <w:rsid w:val="00C20173"/>
    <w:rsid w:val="00C22F2A"/>
    <w:rsid w:val="00C308E2"/>
    <w:rsid w:val="00C61C4E"/>
    <w:rsid w:val="00E22BD0"/>
    <w:rsid w:val="00F237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5C483-8030-4351-B067-DCA449C6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36F8"/>
    <w:pPr>
      <w:ind w:left="720"/>
      <w:contextualSpacing/>
    </w:pPr>
  </w:style>
  <w:style w:type="paragraph" w:styleId="Testonotaapidipagina">
    <w:name w:val="footnote text"/>
    <w:basedOn w:val="Normale"/>
    <w:link w:val="TestonotaapidipaginaCarattere"/>
    <w:uiPriority w:val="99"/>
    <w:semiHidden/>
    <w:unhideWhenUsed/>
    <w:rsid w:val="00C61C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61C4E"/>
    <w:rPr>
      <w:sz w:val="20"/>
      <w:szCs w:val="20"/>
    </w:rPr>
  </w:style>
  <w:style w:type="character" w:styleId="Rimandonotaapidipagina">
    <w:name w:val="footnote reference"/>
    <w:basedOn w:val="Carpredefinitoparagrafo"/>
    <w:uiPriority w:val="99"/>
    <w:semiHidden/>
    <w:unhideWhenUsed/>
    <w:rsid w:val="00C61C4E"/>
    <w:rPr>
      <w:vertAlign w:val="superscript"/>
    </w:rPr>
  </w:style>
  <w:style w:type="paragraph" w:styleId="Intestazione">
    <w:name w:val="header"/>
    <w:basedOn w:val="Normale"/>
    <w:link w:val="IntestazioneCarattere"/>
    <w:uiPriority w:val="99"/>
    <w:unhideWhenUsed/>
    <w:rsid w:val="008F35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3552"/>
  </w:style>
  <w:style w:type="paragraph" w:styleId="Pidipagina">
    <w:name w:val="footer"/>
    <w:basedOn w:val="Normale"/>
    <w:link w:val="PidipaginaCarattere"/>
    <w:uiPriority w:val="99"/>
    <w:unhideWhenUsed/>
    <w:rsid w:val="008F35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3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A427-7584-4EE8-A973-57BD4B54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927</Words>
  <Characters>5290</Characters>
  <Application>Microsoft Office Word</Application>
  <DocSecurity>4</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Reggio Marco (FEDERCASSE)</dc:creator>
  <cp:lastModifiedBy>Carla</cp:lastModifiedBy>
  <cp:revision>2</cp:revision>
  <dcterms:created xsi:type="dcterms:W3CDTF">2018-12-13T14:01:00Z</dcterms:created>
  <dcterms:modified xsi:type="dcterms:W3CDTF">2018-12-13T14:01:00Z</dcterms:modified>
</cp:coreProperties>
</file>